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/>
        </w:rPr>
      </w:pPr>
      <w:bookmarkStart w:id="0" w:name="_GoBack"/>
      <w:bookmarkEnd w:id="0"/>
      <w:r>
        <w:rPr>
          <w:rFonts w:hint="eastAsia" w:eastAsia="宋体"/>
        </w:rPr>
        <w:t>附件1：</w:t>
      </w:r>
    </w:p>
    <w:p>
      <w:pPr>
        <w:spacing w:line="360" w:lineRule="auto"/>
        <w:rPr>
          <w:rFonts w:eastAsia="宋体"/>
          <w:szCs w:val="21"/>
        </w:rPr>
      </w:pPr>
    </w:p>
    <w:p>
      <w:pPr>
        <w:spacing w:line="360" w:lineRule="auto"/>
        <w:ind w:left="-416" w:leftChars="-200" w:firstLine="498" w:firstLineChars="200"/>
        <w:jc w:val="center"/>
        <w:rPr>
          <w:rFonts w:eastAsia="宋体"/>
          <w:szCs w:val="21"/>
        </w:rPr>
      </w:pPr>
      <w:r>
        <w:rPr>
          <w:rFonts w:eastAsia="宋体"/>
          <w:b/>
          <w:kern w:val="0"/>
          <w:sz w:val="24"/>
          <w:szCs w:val="24"/>
        </w:rPr>
        <w:t xml:space="preserve">Distribution of subsurface </w:t>
      </w:r>
      <w:r>
        <w:rPr>
          <w:rFonts w:eastAsia="AdvOT863180fb+fb"/>
          <w:b/>
          <w:kern w:val="0"/>
          <w:sz w:val="24"/>
          <w:szCs w:val="24"/>
        </w:rPr>
        <w:t>fl</w:t>
      </w:r>
      <w:r>
        <w:rPr>
          <w:rFonts w:eastAsia="宋体"/>
          <w:b/>
          <w:kern w:val="0"/>
          <w:sz w:val="24"/>
          <w:szCs w:val="24"/>
        </w:rPr>
        <w:t>uid-</w:t>
      </w:r>
      <w:r>
        <w:rPr>
          <w:rFonts w:eastAsia="AdvOT863180fb+fb"/>
          <w:b/>
          <w:kern w:val="0"/>
          <w:sz w:val="24"/>
          <w:szCs w:val="24"/>
        </w:rPr>
        <w:t>fl</w:t>
      </w:r>
      <w:r>
        <w:rPr>
          <w:rFonts w:eastAsia="宋体"/>
          <w:b/>
          <w:kern w:val="0"/>
          <w:sz w:val="24"/>
          <w:szCs w:val="24"/>
        </w:rPr>
        <w:t>ow systems in the SW Barents Sea</w:t>
      </w:r>
    </w:p>
    <w:p>
      <w:pPr>
        <w:spacing w:line="360" w:lineRule="auto"/>
        <w:ind w:left="-416" w:leftChars="-200" w:firstLine="498" w:firstLineChars="200"/>
        <w:rPr>
          <w:rFonts w:eastAsia="宋体"/>
          <w:b/>
          <w:kern w:val="0"/>
          <w:sz w:val="24"/>
          <w:szCs w:val="24"/>
        </w:rPr>
      </w:pPr>
    </w:p>
    <w:p>
      <w:pPr>
        <w:spacing w:line="360" w:lineRule="auto"/>
        <w:ind w:left="-416" w:leftChars="-200" w:firstLine="416" w:firstLineChars="200"/>
        <w:jc w:val="center"/>
        <w:rPr>
          <w:rFonts w:eastAsia="宋体"/>
          <w:szCs w:val="21"/>
          <w:vertAlign w:val="superscript"/>
        </w:rPr>
      </w:pPr>
      <w:r>
        <w:rPr>
          <w:rFonts w:eastAsia="宋体"/>
          <w:szCs w:val="21"/>
        </w:rPr>
        <w:t xml:space="preserve">Sunil Vadakkepuliyambatta </w:t>
      </w:r>
      <w:r>
        <w:rPr>
          <w:rFonts w:eastAsia="宋体"/>
          <w:szCs w:val="21"/>
          <w:vertAlign w:val="superscript"/>
        </w:rPr>
        <w:t>a,*</w:t>
      </w:r>
      <w:r>
        <w:rPr>
          <w:rFonts w:eastAsia="宋体"/>
          <w:szCs w:val="21"/>
        </w:rPr>
        <w:t xml:space="preserve">, Stefan Bünz </w:t>
      </w:r>
      <w:r>
        <w:rPr>
          <w:rFonts w:eastAsia="宋体"/>
          <w:szCs w:val="21"/>
          <w:vertAlign w:val="superscript"/>
        </w:rPr>
        <w:t>a</w:t>
      </w:r>
      <w:r>
        <w:rPr>
          <w:rFonts w:eastAsia="宋体"/>
          <w:szCs w:val="21"/>
        </w:rPr>
        <w:t xml:space="preserve">, Jürgen Mienert </w:t>
      </w:r>
      <w:r>
        <w:rPr>
          <w:rFonts w:eastAsia="宋体"/>
          <w:szCs w:val="21"/>
          <w:vertAlign w:val="superscript"/>
        </w:rPr>
        <w:t>a</w:t>
      </w:r>
      <w:r>
        <w:rPr>
          <w:rFonts w:eastAsia="宋体"/>
          <w:szCs w:val="21"/>
        </w:rPr>
        <w:t xml:space="preserve">, Shyam Chand </w:t>
      </w:r>
      <w:r>
        <w:rPr>
          <w:rFonts w:eastAsia="宋体"/>
          <w:szCs w:val="21"/>
          <w:vertAlign w:val="superscript"/>
        </w:rPr>
        <w:t>b</w:t>
      </w:r>
    </w:p>
    <w:p>
      <w:pPr>
        <w:spacing w:line="360" w:lineRule="auto"/>
        <w:ind w:left="-416" w:leftChars="-200" w:firstLine="416" w:firstLineChars="200"/>
        <w:jc w:val="left"/>
        <w:rPr>
          <w:rFonts w:eastAsia="宋体"/>
          <w:szCs w:val="21"/>
        </w:rPr>
      </w:pPr>
      <w:r>
        <w:rPr>
          <w:rFonts w:eastAsia="宋体"/>
          <w:szCs w:val="21"/>
          <w:vertAlign w:val="superscript"/>
        </w:rPr>
        <w:t xml:space="preserve">a </w:t>
      </w:r>
      <w:r>
        <w:rPr>
          <w:rFonts w:eastAsia="宋体"/>
          <w:szCs w:val="21"/>
        </w:rPr>
        <w:t>Department of Geology, University of Tromsø, Dramsveien-201, 9037 Tromsø, Norway</w:t>
      </w:r>
    </w:p>
    <w:p>
      <w:pPr>
        <w:spacing w:line="360" w:lineRule="auto"/>
        <w:ind w:left="-416" w:leftChars="-200" w:firstLine="416" w:firstLineChars="200"/>
        <w:jc w:val="left"/>
        <w:rPr>
          <w:rFonts w:eastAsia="宋体"/>
          <w:szCs w:val="21"/>
        </w:rPr>
      </w:pPr>
      <w:r>
        <w:rPr>
          <w:rFonts w:eastAsia="宋体"/>
          <w:szCs w:val="21"/>
          <w:vertAlign w:val="superscript"/>
        </w:rPr>
        <w:t>b</w:t>
      </w:r>
      <w:r>
        <w:rPr>
          <w:rFonts w:eastAsia="宋体"/>
          <w:szCs w:val="21"/>
        </w:rPr>
        <w:t xml:space="preserve"> Geological Survey of Norway (NGU), P.O. Box 6315 Sluppen, 7491 Trondheim, Norway</w:t>
      </w:r>
    </w:p>
    <w:p>
      <w:pPr>
        <w:spacing w:line="360" w:lineRule="auto"/>
        <w:ind w:left="-416" w:leftChars="-200" w:firstLine="416" w:firstLineChars="200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>Email:XXXXX@XX.com</w:t>
      </w:r>
    </w:p>
    <w:p>
      <w:pPr>
        <w:spacing w:line="360" w:lineRule="auto"/>
        <w:ind w:left="-416" w:leftChars="-200" w:firstLine="416" w:firstLineChars="200"/>
        <w:rPr>
          <w:rFonts w:eastAsia="宋体"/>
          <w:szCs w:val="21"/>
        </w:rPr>
      </w:pPr>
    </w:p>
    <w:p>
      <w:pPr>
        <w:spacing w:line="360" w:lineRule="auto"/>
        <w:rPr>
          <w:rFonts w:eastAsia="宋体"/>
          <w:szCs w:val="21"/>
        </w:rPr>
      </w:pPr>
      <w:r>
        <w:rPr>
          <w:rFonts w:eastAsia="宋体"/>
          <w:szCs w:val="21"/>
        </w:rPr>
        <w:t>The SW Barents Sea is a large hydrocarbon-prone epi-continental Sea of the Norwegian Arctic region. A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significant portion of the hydrocarbon gases generated in deep source rocks has leaked or migrated into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the shallow subsurface and is now trapped in gas hydrate and shallow gas reservoirs. We analyze approximately 3000 2D multi-channel seismic profiles and data from 60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wells covering the entire SW Barents Sea, to identify and classify fluid-flow features, and study their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relationship to tectonic elements and geological history. Gas chimneys are the most abundant feature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among various other fluid-flow features such as fluid leakage along faults and fractures, seepage pipes,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and high amplitude anomalies potentially indicating trapped fluids. Large fluid-flow features, covering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areas as large as 600 km2, occur close to known hydrocarbon fields such as Snøhvit, Skrugard, and Havis.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The fluid-flow features occur above major deep-seated faults in the area suggesting a close relation to it.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The strong correlation between the locations of fluid-flow features and structural elements indicates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that extensional tectonics, uplift and glaciations could have played major roles in the timing and</w:t>
      </w:r>
      <w:r>
        <w:rPr>
          <w:rFonts w:hint="eastAsia" w:eastAsia="宋体"/>
          <w:szCs w:val="21"/>
        </w:rPr>
        <w:t xml:space="preserve"> </w:t>
      </w:r>
      <w:r>
        <w:rPr>
          <w:rFonts w:eastAsia="宋体"/>
          <w:szCs w:val="21"/>
        </w:rPr>
        <w:t>activity of the fluid leakage, although erosion might have had an added effect.</w:t>
      </w:r>
    </w:p>
    <w:p>
      <w:pPr>
        <w:spacing w:line="360" w:lineRule="auto"/>
        <w:rPr>
          <w:rFonts w:eastAsia="宋体"/>
          <w:szCs w:val="21"/>
        </w:rPr>
      </w:pPr>
    </w:p>
    <w:p>
      <w:pPr>
        <w:spacing w:line="360" w:lineRule="auto"/>
        <w:rPr>
          <w:rFonts w:eastAsia="宋体"/>
          <w:szCs w:val="21"/>
        </w:rPr>
      </w:pPr>
      <w:r>
        <w:rPr>
          <w:rFonts w:hint="eastAsia" w:eastAsia="宋体"/>
          <w:b/>
          <w:szCs w:val="21"/>
        </w:rPr>
        <w:t>Keywords:</w:t>
      </w:r>
      <w:r>
        <w:rPr>
          <w:rFonts w:eastAsia="宋体"/>
          <w:b/>
          <w:szCs w:val="21"/>
        </w:rPr>
        <w:t xml:space="preserve"> </w:t>
      </w:r>
      <w:r>
        <w:rPr>
          <w:rFonts w:eastAsia="宋体"/>
          <w:szCs w:val="21"/>
        </w:rPr>
        <w:t>Fluid flow</w:t>
      </w:r>
      <w:r>
        <w:rPr>
          <w:rFonts w:hint="eastAsia" w:eastAsia="宋体"/>
          <w:szCs w:val="21"/>
        </w:rPr>
        <w:t>;</w:t>
      </w:r>
      <w:r>
        <w:rPr>
          <w:rFonts w:eastAsia="宋体"/>
          <w:szCs w:val="21"/>
        </w:rPr>
        <w:t xml:space="preserve"> Gas chimneys; Gas hydrates; Barents Sea; Seismic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dvOT863180fb+fb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5" w:lineRule="auto"/>
      </w:pPr>
      <w:r>
        <w:separator/>
      </w:r>
    </w:p>
  </w:footnote>
  <w:footnote w:type="continuationSeparator" w:id="1">
    <w:p>
      <w:pPr>
        <w:spacing w:line="24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2F5E"/>
    <w:rsid w:val="1DD220D4"/>
    <w:rsid w:val="7F632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45" w:lineRule="auto"/>
      <w:jc w:val="both"/>
    </w:pPr>
    <w:rPr>
      <w:rFonts w:ascii="Times New Roman" w:hAnsi="Times New Roman" w:eastAsia="方正书宋简体" w:cs="Times New Roman"/>
      <w:spacing w:val="4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1438</Characters>
  <Lines>0</Lines>
  <Paragraphs>0</Paragraphs>
  <TotalTime>1</TotalTime>
  <ScaleCrop>false</ScaleCrop>
  <LinksUpToDate>false</LinksUpToDate>
  <CharactersWithSpaces>1679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2021-11-07T09:51:00Z</dcterms:created>
  <dc:creator>LTTCHUN A</dc:creator>
  <cp:lastModifiedBy>阿米尔噢噢</cp:lastModifiedBy>
  <dcterms:modified xsi:type="dcterms:W3CDTF">2022-11-12T03:25:49Z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2B242A772DE54FF899C1449CF7A019D3</vt:lpwstr>
  </property>
</Properties>
</file>