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left="0" w:firstLine="0" w:firstLineChars="0"/>
        <w:jc w:val="center"/>
        <w:textAlignment w:val="auto"/>
        <w:rPr>
          <w:rFonts w:hint="eastAsia" w:ascii="方正小标宋简体" w:hAnsi="方正小标宋简体" w:eastAsia="方正小标宋简体" w:cs="方正小标宋简体"/>
          <w:i w:val="0"/>
          <w:caps w:val="0"/>
          <w:color w:val="000000"/>
          <w:spacing w:val="0"/>
          <w:sz w:val="44"/>
          <w:szCs w:val="44"/>
          <w:lang w:val="en-US" w:eastAsia="zh-CN"/>
        </w:rPr>
      </w:pPr>
      <w:r>
        <w:rPr>
          <w:rFonts w:hint="eastAsia" w:ascii="方正小标宋简体" w:hAnsi="方正小标宋简体" w:eastAsia="方正小标宋简体" w:cs="方正小标宋简体"/>
          <w:i w:val="0"/>
          <w:caps w:val="0"/>
          <w:color w:val="000000"/>
          <w:spacing w:val="0"/>
          <w:sz w:val="44"/>
          <w:szCs w:val="44"/>
          <w:lang w:val="en-US" w:eastAsia="zh-CN"/>
        </w:rPr>
        <w:t>普通专利申请代理服务机构名单</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left="0" w:firstLine="0" w:firstLineChars="0"/>
        <w:jc w:val="center"/>
        <w:textAlignment w:val="auto"/>
        <w:rPr>
          <w:rStyle w:val="6"/>
          <w:rFonts w:ascii="Times New Roman" w:hAnsi="Times New Roman" w:eastAsia="仿宋_GB2312" w:cs="方正仿宋_gbk"/>
          <w:b/>
          <w:bCs w:val="0"/>
          <w:i w:val="0"/>
          <w:caps w:val="0"/>
          <w:color w:val="383838"/>
          <w:spacing w:val="0"/>
          <w:sz w:val="32"/>
          <w:szCs w:val="32"/>
          <w:shd w:val="clear" w:fill="FFFFFF"/>
        </w:rPr>
      </w:pPr>
      <w:r>
        <w:rPr>
          <w:rStyle w:val="6"/>
          <w:rFonts w:ascii="Times New Roman" w:hAnsi="Times New Roman" w:eastAsia="仿宋_GB2312" w:cs="方正仿宋_gbk"/>
          <w:b/>
          <w:bCs w:val="0"/>
          <w:i w:val="0"/>
          <w:caps w:val="0"/>
          <w:color w:val="383838"/>
          <w:spacing w:val="0"/>
          <w:sz w:val="32"/>
          <w:szCs w:val="32"/>
          <w:shd w:val="clear" w:fill="FFFFFF"/>
        </w:rPr>
        <w:t>（按</w:t>
      </w:r>
      <w:r>
        <w:rPr>
          <w:rStyle w:val="6"/>
          <w:rFonts w:hint="eastAsia" w:ascii="Times New Roman" w:hAnsi="Times New Roman" w:eastAsia="仿宋_GB2312" w:cs="方正仿宋_gbk"/>
          <w:b/>
          <w:bCs w:val="0"/>
          <w:i w:val="0"/>
          <w:caps w:val="0"/>
          <w:color w:val="383838"/>
          <w:spacing w:val="0"/>
          <w:sz w:val="32"/>
          <w:szCs w:val="32"/>
          <w:shd w:val="clear" w:fill="FFFFFF"/>
          <w:lang w:eastAsia="zh-CN"/>
        </w:rPr>
        <w:t>机构名称</w:t>
      </w:r>
      <w:r>
        <w:rPr>
          <w:rStyle w:val="6"/>
          <w:rFonts w:ascii="Times New Roman" w:hAnsi="Times New Roman" w:eastAsia="仿宋_GB2312" w:cs="方正仿宋_gbk"/>
          <w:b/>
          <w:bCs w:val="0"/>
          <w:i w:val="0"/>
          <w:caps w:val="0"/>
          <w:color w:val="383838"/>
          <w:spacing w:val="0"/>
          <w:sz w:val="32"/>
          <w:szCs w:val="32"/>
          <w:shd w:val="clear" w:fill="FFFFFF"/>
        </w:rPr>
        <w:t>拼音排序）</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left="0" w:firstLine="0" w:firstLineChars="0"/>
        <w:jc w:val="center"/>
        <w:textAlignment w:val="auto"/>
        <w:rPr>
          <w:rStyle w:val="6"/>
          <w:rFonts w:hint="eastAsia" w:ascii="Times New Roman" w:hAnsi="Times New Roman" w:eastAsia="仿宋_GB2312" w:cs="方正仿宋_gbk"/>
          <w:b/>
          <w:bCs w:val="0"/>
          <w:i w:val="0"/>
          <w:caps w:val="0"/>
          <w:color w:val="383838"/>
          <w:spacing w:val="0"/>
          <w:sz w:val="28"/>
          <w:szCs w:val="28"/>
          <w:shd w:val="clear" w:fill="FFFFFF"/>
        </w:rPr>
      </w:pPr>
    </w:p>
    <w:tbl>
      <w:tblPr>
        <w:tblStyle w:val="4"/>
        <w:tblW w:w="51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6"/>
        <w:gridCol w:w="1060"/>
        <w:gridCol w:w="213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both"/>
              <w:textAlignment w:val="auto"/>
              <w:rPr>
                <w:rStyle w:val="6"/>
                <w:rFonts w:hint="eastAsia" w:ascii="Times New Roman" w:hAnsi="Times New Roman" w:eastAsia="仿宋_GB2312" w:cs="方正仿宋_gbk"/>
                <w:b/>
                <w:bCs w:val="0"/>
                <w:i w:val="0"/>
                <w:caps w:val="0"/>
                <w:color w:val="383838"/>
                <w:spacing w:val="0"/>
                <w:sz w:val="28"/>
                <w:szCs w:val="28"/>
                <w:highlight w:val="none"/>
                <w:shd w:val="clear" w:fill="FFFFFF"/>
                <w:lang w:eastAsia="zh-CN"/>
              </w:rPr>
            </w:pPr>
            <w:r>
              <w:rPr>
                <w:rStyle w:val="6"/>
                <w:rFonts w:hint="eastAsia" w:ascii="Times New Roman" w:hAnsi="Times New Roman" w:eastAsia="仿宋_GB2312" w:cs="方正仿宋_gbk"/>
                <w:b/>
                <w:bCs w:val="0"/>
                <w:i w:val="0"/>
                <w:caps w:val="0"/>
                <w:color w:val="383838"/>
                <w:spacing w:val="0"/>
                <w:sz w:val="28"/>
                <w:szCs w:val="28"/>
                <w:highlight w:val="none"/>
                <w:shd w:val="clear" w:fill="FFFFFF"/>
                <w:lang w:eastAsia="zh-CN"/>
              </w:rPr>
              <w:t>序号</w:t>
            </w:r>
          </w:p>
        </w:tc>
        <w:tc>
          <w:tcPr>
            <w:tcW w:w="1436"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Times New Roman" w:hAnsi="Times New Roman" w:eastAsia="仿宋_GB2312" w:cs="仿宋"/>
                <w:b/>
                <w:bCs w:val="0"/>
                <w:sz w:val="28"/>
                <w:szCs w:val="28"/>
                <w:highlight w:val="none"/>
                <w:vertAlign w:val="baseline"/>
                <w:lang w:val="en-US" w:eastAsia="zh-CN"/>
              </w:rPr>
            </w:pPr>
            <w:r>
              <w:rPr>
                <w:rStyle w:val="6"/>
                <w:rFonts w:hint="eastAsia" w:ascii="Times New Roman" w:hAnsi="Times New Roman" w:eastAsia="仿宋_GB2312" w:cs="方正仿宋_gbk"/>
                <w:b/>
                <w:bCs w:val="0"/>
                <w:i w:val="0"/>
                <w:caps w:val="0"/>
                <w:color w:val="383838"/>
                <w:spacing w:val="0"/>
                <w:sz w:val="28"/>
                <w:szCs w:val="28"/>
                <w:highlight w:val="none"/>
                <w:shd w:val="clear" w:fill="FFFFFF"/>
                <w:lang w:eastAsia="zh-CN"/>
              </w:rPr>
              <w:t>机构名称</w:t>
            </w:r>
          </w:p>
        </w:tc>
        <w:tc>
          <w:tcPr>
            <w:tcW w:w="602"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Times New Roman" w:hAnsi="Times New Roman" w:eastAsia="仿宋_GB2312" w:cs="仿宋"/>
                <w:b/>
                <w:bCs w:val="0"/>
                <w:sz w:val="28"/>
                <w:szCs w:val="28"/>
                <w:highlight w:val="none"/>
                <w:vertAlign w:val="baseline"/>
                <w:lang w:val="en-US" w:eastAsia="zh-CN"/>
              </w:rPr>
            </w:pPr>
            <w:r>
              <w:rPr>
                <w:rFonts w:hint="eastAsia" w:ascii="Times New Roman" w:hAnsi="Times New Roman" w:eastAsia="仿宋_GB2312" w:cs="仿宋"/>
                <w:b/>
                <w:bCs w:val="0"/>
                <w:sz w:val="28"/>
                <w:szCs w:val="28"/>
                <w:highlight w:val="none"/>
                <w:vertAlign w:val="baseline"/>
                <w:lang w:val="en-US" w:eastAsia="zh-CN"/>
              </w:rPr>
              <w:t>联系人</w:t>
            </w:r>
          </w:p>
        </w:tc>
        <w:tc>
          <w:tcPr>
            <w:tcW w:w="1211"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Times New Roman" w:hAnsi="Times New Roman" w:eastAsia="仿宋_GB2312" w:cs="仿宋"/>
                <w:b/>
                <w:bCs w:val="0"/>
                <w:sz w:val="28"/>
                <w:szCs w:val="28"/>
                <w:highlight w:val="none"/>
                <w:vertAlign w:val="baseline"/>
                <w:lang w:val="en-US" w:eastAsia="zh-CN"/>
              </w:rPr>
            </w:pPr>
            <w:r>
              <w:rPr>
                <w:rFonts w:hint="eastAsia" w:ascii="Times New Roman" w:hAnsi="Times New Roman" w:eastAsia="仿宋_GB2312" w:cs="仿宋"/>
                <w:b/>
                <w:bCs w:val="0"/>
                <w:sz w:val="28"/>
                <w:szCs w:val="28"/>
                <w:highlight w:val="none"/>
                <w:vertAlign w:val="baseline"/>
                <w:lang w:val="en-US" w:eastAsia="zh-CN"/>
              </w:rPr>
              <w:t>联系电话</w:t>
            </w:r>
          </w:p>
        </w:tc>
        <w:tc>
          <w:tcPr>
            <w:tcW w:w="128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Times New Roman" w:hAnsi="Times New Roman" w:eastAsia="仿宋_GB2312" w:cs="仿宋"/>
                <w:b/>
                <w:bCs w:val="0"/>
                <w:sz w:val="28"/>
                <w:szCs w:val="28"/>
                <w:highlight w:val="none"/>
                <w:vertAlign w:val="baseline"/>
                <w:lang w:val="en-US" w:eastAsia="zh-CN"/>
              </w:rPr>
            </w:pPr>
            <w:r>
              <w:rPr>
                <w:rFonts w:hint="eastAsia" w:ascii="Times New Roman" w:hAnsi="Times New Roman" w:eastAsia="仿宋_GB2312" w:cs="仿宋"/>
                <w:b/>
                <w:bCs w:val="0"/>
                <w:sz w:val="28"/>
                <w:szCs w:val="28"/>
                <w:highlight w:val="none"/>
                <w:vertAlign w:val="baseline"/>
                <w:lang w:val="en-US" w:eastAsia="zh-CN"/>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pPr>
              <w:adjustRightInd w:val="0"/>
              <w:snapToGrid w:val="0"/>
              <w:jc w:val="center"/>
              <w:rPr>
                <w:rStyle w:val="6"/>
                <w:rFonts w:ascii="Times New Roman" w:hAnsi="Times New Roman" w:eastAsia="仿宋_GB2312" w:cs="方正仿宋_gbk"/>
                <w:b w:val="0"/>
                <w:bCs/>
                <w:color w:val="auto"/>
                <w:sz w:val="28"/>
                <w:szCs w:val="28"/>
                <w:shd w:val="clear" w:color="auto" w:fill="FFFFFF"/>
              </w:rPr>
            </w:pPr>
            <w:r>
              <w:rPr>
                <w:rStyle w:val="6"/>
                <w:rFonts w:hint="eastAsia" w:ascii="Times New Roman" w:hAnsi="Times New Roman" w:eastAsia="仿宋_GB2312" w:cs="方正仿宋_gbk"/>
                <w:b w:val="0"/>
                <w:bCs/>
                <w:color w:val="auto"/>
                <w:sz w:val="28"/>
                <w:szCs w:val="28"/>
                <w:shd w:val="clear" w:color="auto" w:fill="FFFFFF"/>
              </w:rPr>
              <w:t>1</w:t>
            </w:r>
          </w:p>
        </w:tc>
        <w:tc>
          <w:tcPr>
            <w:tcW w:w="1436" w:type="pct"/>
          </w:tcPr>
          <w:p>
            <w:pPr>
              <w:adjustRightInd w:val="0"/>
              <w:snapToGrid w:val="0"/>
              <w:jc w:val="center"/>
              <w:rPr>
                <w:rStyle w:val="6"/>
                <w:rFonts w:ascii="Times New Roman" w:hAnsi="Times New Roman" w:eastAsia="仿宋_GB2312" w:cs="方正仿宋_gbk"/>
                <w:b w:val="0"/>
                <w:bCs/>
                <w:color w:val="auto"/>
                <w:sz w:val="28"/>
                <w:szCs w:val="28"/>
                <w:shd w:val="clear" w:color="auto" w:fill="FFFFFF"/>
              </w:rPr>
            </w:pPr>
            <w:r>
              <w:rPr>
                <w:rStyle w:val="6"/>
                <w:rFonts w:hint="eastAsia" w:ascii="Times New Roman" w:hAnsi="Times New Roman" w:eastAsia="仿宋_GB2312" w:cs="方正仿宋_gbk"/>
                <w:b w:val="0"/>
                <w:bCs/>
                <w:color w:val="auto"/>
                <w:sz w:val="28"/>
                <w:szCs w:val="28"/>
                <w:shd w:val="clear" w:color="auto" w:fill="FFFFFF"/>
              </w:rPr>
              <w:t>北京集佳知识产权代理有限公司</w:t>
            </w:r>
          </w:p>
        </w:tc>
        <w:tc>
          <w:tcPr>
            <w:tcW w:w="602" w:type="pct"/>
          </w:tcPr>
          <w:p>
            <w:pPr>
              <w:adjustRightInd w:val="0"/>
              <w:snapToGrid w:val="0"/>
              <w:jc w:val="center"/>
              <w:rPr>
                <w:rStyle w:val="6"/>
                <w:rFonts w:ascii="Times New Roman" w:hAnsi="Times New Roman" w:eastAsia="仿宋_GB2312" w:cs="方正仿宋_gbk"/>
                <w:b w:val="0"/>
                <w:bCs/>
                <w:color w:val="auto"/>
                <w:sz w:val="28"/>
                <w:szCs w:val="28"/>
                <w:shd w:val="clear" w:color="auto" w:fill="FFFFFF"/>
              </w:rPr>
            </w:pPr>
            <w:r>
              <w:rPr>
                <w:rStyle w:val="6"/>
                <w:rFonts w:hint="eastAsia" w:ascii="Times New Roman" w:hAnsi="Times New Roman" w:eastAsia="仿宋_GB2312" w:cs="方正仿宋_gbk"/>
                <w:b w:val="0"/>
                <w:bCs/>
                <w:color w:val="auto"/>
                <w:sz w:val="28"/>
                <w:szCs w:val="28"/>
                <w:shd w:val="clear" w:color="auto" w:fill="FFFFFF"/>
              </w:rPr>
              <w:t>刘思言</w:t>
            </w:r>
          </w:p>
        </w:tc>
        <w:tc>
          <w:tcPr>
            <w:tcW w:w="1211" w:type="pct"/>
          </w:tcPr>
          <w:p>
            <w:pPr>
              <w:adjustRightInd w:val="0"/>
              <w:snapToGrid w:val="0"/>
              <w:jc w:val="center"/>
              <w:rPr>
                <w:rStyle w:val="6"/>
                <w:rFonts w:ascii="Times New Roman" w:hAnsi="Times New Roman" w:eastAsia="仿宋_GB2312" w:cs="方正仿宋_gbk"/>
                <w:b w:val="0"/>
                <w:bCs/>
                <w:color w:val="auto"/>
                <w:sz w:val="28"/>
                <w:szCs w:val="28"/>
                <w:shd w:val="clear" w:color="auto" w:fill="FFFFFF"/>
              </w:rPr>
            </w:pPr>
            <w:r>
              <w:rPr>
                <w:rStyle w:val="6"/>
                <w:rFonts w:hint="eastAsia" w:ascii="Times New Roman" w:hAnsi="Times New Roman" w:eastAsia="仿宋_GB2312" w:cs="方正仿宋_gbk"/>
                <w:b w:val="0"/>
                <w:bCs/>
                <w:color w:val="auto"/>
                <w:sz w:val="28"/>
                <w:szCs w:val="28"/>
                <w:shd w:val="clear" w:color="auto" w:fill="FFFFFF"/>
              </w:rPr>
              <w:t>13672455670/020-38813588-861</w:t>
            </w:r>
          </w:p>
        </w:tc>
        <w:tc>
          <w:tcPr>
            <w:tcW w:w="1285" w:type="pct"/>
          </w:tcPr>
          <w:p>
            <w:pPr>
              <w:adjustRightInd w:val="0"/>
              <w:snapToGrid w:val="0"/>
              <w:jc w:val="center"/>
              <w:rPr>
                <w:rStyle w:val="6"/>
                <w:rFonts w:ascii="Times New Roman" w:hAnsi="Times New Roman" w:eastAsia="仿宋_GB2312" w:cs="方正仿宋_gbk"/>
                <w:b w:val="0"/>
                <w:bCs/>
                <w:color w:val="auto"/>
                <w:sz w:val="28"/>
                <w:szCs w:val="28"/>
                <w:shd w:val="clear" w:color="auto" w:fill="FFFFFF"/>
              </w:rPr>
            </w:pPr>
            <w:r>
              <w:rPr>
                <w:rStyle w:val="6"/>
                <w:rFonts w:hint="eastAsia" w:ascii="Times New Roman" w:hAnsi="Times New Roman" w:eastAsia="仿宋_GB2312" w:cs="方正仿宋_gbk"/>
                <w:b w:val="0"/>
                <w:bCs/>
                <w:color w:val="auto"/>
                <w:sz w:val="28"/>
                <w:szCs w:val="28"/>
                <w:shd w:val="clear" w:color="auto" w:fill="FFFFFF"/>
              </w:rPr>
              <w:t>sysupat@chinajijia.com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t>2</w:t>
            </w:r>
          </w:p>
        </w:tc>
        <w:tc>
          <w:tcPr>
            <w:tcW w:w="1436"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highlight w:val="none"/>
                <w:shd w:val="clear" w:fill="FFFFFF"/>
                <w:lang w:eastAsia="zh-CN"/>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eastAsia="zh-CN"/>
              </w:rPr>
              <w:t>北京品源专利代理有限公司</w:t>
            </w:r>
          </w:p>
        </w:tc>
        <w:tc>
          <w:tcPr>
            <w:tcW w:w="602"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highlight w:val="none"/>
                <w:shd w:val="clear" w:fill="FFFFFF"/>
                <w:lang w:eastAsia="zh-CN"/>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t>沈惠</w:t>
            </w:r>
          </w:p>
        </w:tc>
        <w:tc>
          <w:tcPr>
            <w:tcW w:w="1211"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t>15813350477</w:t>
            </w:r>
          </w:p>
        </w:tc>
        <w:tc>
          <w:tcPr>
            <w:tcW w:w="1285"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t>hui.shen@boip.com.cn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t>3</w:t>
            </w:r>
          </w:p>
        </w:tc>
        <w:tc>
          <w:tcPr>
            <w:tcW w:w="1436"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highlight w:val="none"/>
                <w:shd w:val="clear" w:fill="FFFFFF"/>
                <w:lang w:eastAsia="zh-CN"/>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eastAsia="zh-CN"/>
              </w:rPr>
              <w:t>广州嘉权专利商标事务所有限公司</w:t>
            </w:r>
          </w:p>
        </w:tc>
        <w:tc>
          <w:tcPr>
            <w:tcW w:w="602"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highlight w:val="none"/>
                <w:shd w:val="clear" w:fill="FFFFFF"/>
                <w:lang w:eastAsia="zh-CN"/>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t>陈建旋</w:t>
            </w:r>
          </w:p>
        </w:tc>
        <w:tc>
          <w:tcPr>
            <w:tcW w:w="1211"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highlight w:val="none"/>
                <w:shd w:val="clear" w:fill="FFFFFF"/>
                <w:lang w:eastAsia="zh-CN"/>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t>15915837522</w:t>
            </w:r>
          </w:p>
        </w:tc>
        <w:tc>
          <w:tcPr>
            <w:tcW w:w="1285"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eastAsia="zh-CN"/>
              </w:rPr>
              <w:t>chenjianxuan@jiaquanip.com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t>4</w:t>
            </w:r>
          </w:p>
        </w:tc>
        <w:tc>
          <w:tcPr>
            <w:tcW w:w="1436"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highlight w:val="none"/>
                <w:shd w:val="clear" w:fill="FFFFFF"/>
                <w:lang w:eastAsia="zh-CN"/>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eastAsia="zh-CN"/>
              </w:rPr>
              <w:t>广州市华学知识产权代理有限公司</w:t>
            </w:r>
          </w:p>
        </w:tc>
        <w:tc>
          <w:tcPr>
            <w:tcW w:w="602"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highlight w:val="none"/>
                <w:shd w:val="clear" w:fill="FFFFFF"/>
                <w:lang w:eastAsia="zh-CN"/>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t>裘晖</w:t>
            </w:r>
          </w:p>
        </w:tc>
        <w:tc>
          <w:tcPr>
            <w:tcW w:w="1211"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highlight w:val="none"/>
                <w:shd w:val="clear" w:fill="FFFFFF"/>
                <w:lang w:eastAsia="zh-CN"/>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t>13570563991</w:t>
            </w:r>
          </w:p>
        </w:tc>
        <w:tc>
          <w:tcPr>
            <w:tcW w:w="1285"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eastAsia="zh-CN"/>
              </w:rPr>
              <w:t>qiuhui@126.com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Times New Roman" w:hAnsi="Times New Roman" w:eastAsia="仿宋_GB2312" w:cs="方正仿宋_gbk"/>
                <w:b w:val="0"/>
                <w:bCs/>
                <w:i w:val="0"/>
                <w:caps w:val="0"/>
                <w:color w:val="383838"/>
                <w:spacing w:val="0"/>
                <w:kern w:val="2"/>
                <w:sz w:val="28"/>
                <w:szCs w:val="28"/>
                <w:highlight w:val="none"/>
                <w:shd w:val="clear" w:fill="FFFFFF"/>
                <w:lang w:val="en-US" w:eastAsia="zh-CN" w:bidi="ar-SA"/>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t>5</w:t>
            </w:r>
          </w:p>
        </w:tc>
        <w:tc>
          <w:tcPr>
            <w:tcW w:w="1436" w:type="pct"/>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Times New Roman" w:hAnsi="Times New Roman" w:eastAsia="仿宋_GB2312" w:cs="方正仿宋_gbk"/>
                <w:b w:val="0"/>
                <w:bCs/>
                <w:i w:val="0"/>
                <w:caps w:val="0"/>
                <w:color w:val="383838"/>
                <w:spacing w:val="0"/>
                <w:kern w:val="2"/>
                <w:sz w:val="28"/>
                <w:szCs w:val="28"/>
                <w:highlight w:val="none"/>
                <w:shd w:val="clear" w:fill="FFFFFF"/>
                <w:lang w:val="en-US" w:eastAsia="zh-CN" w:bidi="ar-SA"/>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eastAsia="zh-CN"/>
              </w:rPr>
              <w:t>广州三环专利商标代理有限公司</w:t>
            </w:r>
          </w:p>
        </w:tc>
        <w:tc>
          <w:tcPr>
            <w:tcW w:w="602" w:type="pct"/>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Times New Roman" w:hAnsi="Times New Roman" w:eastAsia="仿宋_GB2312" w:cs="方正仿宋_gbk"/>
                <w:b w:val="0"/>
                <w:bCs/>
                <w:i w:val="0"/>
                <w:caps w:val="0"/>
                <w:color w:val="383838"/>
                <w:spacing w:val="0"/>
                <w:kern w:val="2"/>
                <w:sz w:val="28"/>
                <w:szCs w:val="28"/>
                <w:highlight w:val="none"/>
                <w:shd w:val="clear" w:fill="FFFFFF"/>
                <w:lang w:val="en-US" w:eastAsia="zh-CN" w:bidi="ar-SA"/>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t>王伟</w:t>
            </w:r>
          </w:p>
        </w:tc>
        <w:tc>
          <w:tcPr>
            <w:tcW w:w="1211" w:type="pct"/>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Times New Roman" w:hAnsi="Times New Roman" w:eastAsia="仿宋_GB2312" w:cs="方正仿宋_gbk"/>
                <w:b w:val="0"/>
                <w:bCs/>
                <w:i w:val="0"/>
                <w:caps w:val="0"/>
                <w:color w:val="383838"/>
                <w:spacing w:val="0"/>
                <w:kern w:val="2"/>
                <w:sz w:val="28"/>
                <w:szCs w:val="28"/>
                <w:highlight w:val="none"/>
                <w:shd w:val="clear" w:fill="FFFFFF"/>
                <w:lang w:val="en-US" w:eastAsia="zh-CN" w:bidi="ar-SA"/>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val="en-US" w:eastAsia="zh-CN"/>
              </w:rPr>
              <w:t>18011850679</w:t>
            </w:r>
          </w:p>
        </w:tc>
        <w:tc>
          <w:tcPr>
            <w:tcW w:w="1285" w:type="pct"/>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Times New Roman" w:hAnsi="Times New Roman" w:eastAsia="仿宋_GB2312" w:cs="方正仿宋_gbk"/>
                <w:b w:val="0"/>
                <w:bCs/>
                <w:i w:val="0"/>
                <w:caps w:val="0"/>
                <w:color w:val="383838"/>
                <w:spacing w:val="0"/>
                <w:kern w:val="2"/>
                <w:sz w:val="28"/>
                <w:szCs w:val="28"/>
                <w:highlight w:val="none"/>
                <w:shd w:val="clear" w:fill="FFFFFF"/>
                <w:lang w:val="en-US" w:eastAsia="zh-CN" w:bidi="ar-SA"/>
              </w:rPr>
            </w:pPr>
            <w:r>
              <w:rPr>
                <w:rStyle w:val="6"/>
                <w:rFonts w:hint="eastAsia" w:ascii="Times New Roman" w:hAnsi="Times New Roman" w:eastAsia="仿宋_GB2312" w:cs="方正仿宋_gbk"/>
                <w:b w:val="0"/>
                <w:bCs/>
                <w:i w:val="0"/>
                <w:caps w:val="0"/>
                <w:color w:val="383838"/>
                <w:spacing w:val="0"/>
                <w:sz w:val="28"/>
                <w:szCs w:val="28"/>
                <w:highlight w:val="none"/>
                <w:shd w:val="clear" w:fill="FFFFFF"/>
                <w:lang w:eastAsia="zh-CN"/>
              </w:rPr>
              <w:t>wangwei@scihead.com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pPr>
              <w:adjustRightInd w:val="0"/>
              <w:snapToGrid w:val="0"/>
              <w:jc w:val="center"/>
              <w:rPr>
                <w:rFonts w:ascii="Times New Roman" w:hAnsi="Times New Roman" w:eastAsia="仿宋_GB2312" w:cs="方正仿宋_gbk"/>
                <w:bCs/>
                <w:color w:val="383838"/>
                <w:sz w:val="28"/>
                <w:szCs w:val="28"/>
                <w:shd w:val="clear" w:color="auto" w:fill="FFFFFF"/>
              </w:rPr>
            </w:pPr>
            <w:r>
              <w:rPr>
                <w:rStyle w:val="6"/>
                <w:rFonts w:hint="eastAsia" w:ascii="Times New Roman" w:hAnsi="Times New Roman" w:eastAsia="仿宋_GB2312" w:cs="方正仿宋_gbk"/>
                <w:b w:val="0"/>
                <w:bCs/>
                <w:color w:val="383838"/>
                <w:sz w:val="28"/>
                <w:szCs w:val="28"/>
                <w:shd w:val="clear" w:color="auto" w:fill="FFFFFF"/>
              </w:rPr>
              <w:t>6</w:t>
            </w:r>
          </w:p>
        </w:tc>
        <w:tc>
          <w:tcPr>
            <w:tcW w:w="1436" w:type="pct"/>
          </w:tcPr>
          <w:p>
            <w:pPr>
              <w:adjustRightInd w:val="0"/>
              <w:snapToGrid w:val="0"/>
              <w:jc w:val="center"/>
              <w:rPr>
                <w:rFonts w:ascii="Times New Roman" w:hAnsi="Times New Roman" w:eastAsia="仿宋_GB2312" w:cs="方正仿宋_gbk"/>
                <w:bCs/>
                <w:color w:val="383838"/>
                <w:sz w:val="28"/>
                <w:szCs w:val="28"/>
                <w:shd w:val="clear" w:color="auto" w:fill="FFFFFF"/>
              </w:rPr>
            </w:pPr>
            <w:r>
              <w:rPr>
                <w:rStyle w:val="6"/>
                <w:rFonts w:hint="eastAsia" w:ascii="Times New Roman" w:hAnsi="Times New Roman" w:eastAsia="仿宋_GB2312" w:cs="方正仿宋_gbk"/>
                <w:b w:val="0"/>
                <w:bCs/>
                <w:color w:val="383838"/>
                <w:sz w:val="28"/>
                <w:szCs w:val="28"/>
                <w:shd w:val="clear" w:color="auto" w:fill="FFFFFF"/>
              </w:rPr>
              <w:t>广州粤高专利商标代理有限公司</w:t>
            </w:r>
          </w:p>
        </w:tc>
        <w:tc>
          <w:tcPr>
            <w:tcW w:w="602" w:type="pct"/>
          </w:tcPr>
          <w:p>
            <w:pPr>
              <w:adjustRightInd w:val="0"/>
              <w:snapToGrid w:val="0"/>
              <w:jc w:val="center"/>
              <w:rPr>
                <w:rFonts w:ascii="Times New Roman" w:hAnsi="Times New Roman" w:eastAsia="仿宋_GB2312" w:cs="方正仿宋_gbk"/>
                <w:bCs/>
                <w:color w:val="383838"/>
                <w:sz w:val="28"/>
                <w:szCs w:val="28"/>
                <w:shd w:val="clear" w:color="auto" w:fill="FFFFFF"/>
              </w:rPr>
            </w:pPr>
            <w:r>
              <w:rPr>
                <w:rStyle w:val="6"/>
                <w:rFonts w:hint="eastAsia" w:ascii="Times New Roman" w:hAnsi="Times New Roman" w:eastAsia="仿宋_GB2312" w:cs="方正仿宋_gbk"/>
                <w:b w:val="0"/>
                <w:bCs/>
                <w:color w:val="383838"/>
                <w:sz w:val="28"/>
                <w:szCs w:val="28"/>
                <w:shd w:val="clear" w:color="auto" w:fill="FFFFFF"/>
              </w:rPr>
              <w:t>张钦满</w:t>
            </w:r>
          </w:p>
        </w:tc>
        <w:tc>
          <w:tcPr>
            <w:tcW w:w="1211" w:type="pct"/>
          </w:tcPr>
          <w:p>
            <w:pPr>
              <w:adjustRightInd w:val="0"/>
              <w:snapToGrid w:val="0"/>
              <w:jc w:val="center"/>
              <w:rPr>
                <w:rFonts w:ascii="Times New Roman" w:hAnsi="Times New Roman" w:eastAsia="仿宋_GB2312" w:cs="方正仿宋_gbk"/>
                <w:bCs/>
                <w:color w:val="383838"/>
                <w:sz w:val="28"/>
                <w:szCs w:val="28"/>
                <w:shd w:val="clear" w:color="auto" w:fill="FFFFFF"/>
              </w:rPr>
            </w:pPr>
            <w:r>
              <w:rPr>
                <w:rFonts w:ascii="Times New Roman" w:hAnsi="Times New Roman" w:eastAsia="仿宋_GB2312" w:cs="方正仿宋_gbk"/>
                <w:bCs/>
                <w:color w:val="383838"/>
                <w:sz w:val="28"/>
                <w:szCs w:val="28"/>
                <w:shd w:val="clear" w:color="auto" w:fill="FFFFFF"/>
              </w:rPr>
              <w:t>16620057890</w:t>
            </w:r>
          </w:p>
        </w:tc>
        <w:tc>
          <w:tcPr>
            <w:tcW w:w="1285" w:type="pct"/>
          </w:tcPr>
          <w:p>
            <w:pPr>
              <w:adjustRightInd w:val="0"/>
              <w:snapToGrid w:val="0"/>
              <w:jc w:val="center"/>
              <w:rPr>
                <w:rFonts w:ascii="Times New Roman" w:hAnsi="Times New Roman" w:eastAsia="仿宋_GB2312" w:cs="方正仿宋_gbk"/>
                <w:bCs/>
                <w:color w:val="383838"/>
                <w:sz w:val="28"/>
                <w:szCs w:val="28"/>
                <w:shd w:val="clear" w:color="auto" w:fill="FFFFFF"/>
              </w:rPr>
            </w:pPr>
            <w:r>
              <w:rPr>
                <w:rFonts w:ascii="Times New Roman" w:hAnsi="Times New Roman" w:eastAsia="仿宋_GB2312" w:cs="方正仿宋_gbk"/>
                <w:bCs/>
                <w:color w:val="383838"/>
                <w:sz w:val="28"/>
                <w:szCs w:val="28"/>
                <w:shd w:val="clear" w:color="auto" w:fill="FFFFFF"/>
              </w:rPr>
              <w:t>qinman.zhang@yogoip.com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shd w:val="clear" w:fill="FFFFFF"/>
                <w:lang w:val="en-US" w:eastAsia="zh-CN"/>
              </w:rPr>
            </w:pPr>
            <w:r>
              <w:rPr>
                <w:rStyle w:val="6"/>
                <w:rFonts w:hint="eastAsia" w:ascii="Times New Roman" w:hAnsi="Times New Roman" w:eastAsia="仿宋_GB2312" w:cs="方正仿宋_gbk"/>
                <w:b w:val="0"/>
                <w:bCs/>
                <w:i w:val="0"/>
                <w:caps w:val="0"/>
                <w:color w:val="383838"/>
                <w:spacing w:val="0"/>
                <w:sz w:val="28"/>
                <w:szCs w:val="28"/>
                <w:shd w:val="clear" w:fill="FFFFFF"/>
                <w:lang w:val="en-US" w:eastAsia="zh-CN"/>
              </w:rPr>
              <w:t>7</w:t>
            </w:r>
          </w:p>
        </w:tc>
        <w:tc>
          <w:tcPr>
            <w:tcW w:w="1436"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shd w:val="clear" w:fill="FFFFFF"/>
                <w:lang w:eastAsia="zh-CN"/>
              </w:rPr>
            </w:pPr>
            <w:r>
              <w:rPr>
                <w:rStyle w:val="6"/>
                <w:rFonts w:hint="eastAsia" w:ascii="Times New Roman" w:hAnsi="Times New Roman" w:eastAsia="仿宋_GB2312" w:cs="方正仿宋_gbk"/>
                <w:b w:val="0"/>
                <w:bCs/>
                <w:i w:val="0"/>
                <w:caps w:val="0"/>
                <w:color w:val="383838"/>
                <w:spacing w:val="0"/>
                <w:sz w:val="28"/>
                <w:szCs w:val="28"/>
                <w:shd w:val="clear" w:fill="FFFFFF"/>
                <w:lang w:eastAsia="zh-CN"/>
              </w:rPr>
              <w:t>深圳市创富知识产权代理有限公司</w:t>
            </w:r>
          </w:p>
        </w:tc>
        <w:tc>
          <w:tcPr>
            <w:tcW w:w="602"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shd w:val="clear" w:fill="FFFFFF"/>
                <w:lang w:eastAsia="zh-CN"/>
              </w:rPr>
            </w:pPr>
            <w:r>
              <w:rPr>
                <w:rStyle w:val="6"/>
                <w:rFonts w:hint="eastAsia" w:ascii="Times New Roman" w:hAnsi="Times New Roman" w:eastAsia="仿宋_GB2312" w:cs="方正仿宋_gbk"/>
                <w:b w:val="0"/>
                <w:bCs/>
                <w:i w:val="0"/>
                <w:caps w:val="0"/>
                <w:color w:val="383838"/>
                <w:spacing w:val="0"/>
                <w:sz w:val="28"/>
                <w:szCs w:val="28"/>
                <w:shd w:val="clear" w:fill="FFFFFF"/>
                <w:lang w:val="en-US" w:eastAsia="zh-CN"/>
              </w:rPr>
              <w:t>廖浩伟</w:t>
            </w:r>
          </w:p>
        </w:tc>
        <w:tc>
          <w:tcPr>
            <w:tcW w:w="1211"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shd w:val="clear" w:fill="FFFFFF"/>
                <w:lang w:eastAsia="zh-CN"/>
              </w:rPr>
            </w:pPr>
            <w:r>
              <w:rPr>
                <w:rStyle w:val="6"/>
                <w:rFonts w:hint="eastAsia" w:ascii="Times New Roman" w:hAnsi="Times New Roman" w:eastAsia="仿宋_GB2312" w:cs="方正仿宋_gbk"/>
                <w:b w:val="0"/>
                <w:bCs/>
                <w:i w:val="0"/>
                <w:caps w:val="0"/>
                <w:color w:val="383838"/>
                <w:spacing w:val="0"/>
                <w:sz w:val="28"/>
                <w:szCs w:val="28"/>
                <w:shd w:val="clear" w:fill="FFFFFF"/>
                <w:lang w:val="en-US" w:eastAsia="zh-CN"/>
              </w:rPr>
              <w:t>13226607271</w:t>
            </w:r>
          </w:p>
        </w:tc>
        <w:tc>
          <w:tcPr>
            <w:tcW w:w="1285" w:type="pct"/>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Style w:val="6"/>
                <w:rFonts w:hint="eastAsia" w:ascii="Times New Roman" w:hAnsi="Times New Roman" w:eastAsia="仿宋_GB2312" w:cs="方正仿宋_gbk"/>
                <w:b w:val="0"/>
                <w:bCs/>
                <w:i w:val="0"/>
                <w:caps w:val="0"/>
                <w:color w:val="383838"/>
                <w:spacing w:val="0"/>
                <w:sz w:val="28"/>
                <w:szCs w:val="28"/>
                <w:shd w:val="clear" w:fill="FFFFFF"/>
                <w:lang w:val="en-US" w:eastAsia="zh-CN"/>
              </w:rPr>
            </w:pPr>
            <w:r>
              <w:rPr>
                <w:rStyle w:val="6"/>
                <w:rFonts w:hint="eastAsia" w:ascii="Times New Roman" w:hAnsi="Times New Roman" w:eastAsia="仿宋_GB2312" w:cs="方正仿宋_gbk"/>
                <w:b w:val="0"/>
                <w:bCs/>
                <w:i w:val="0"/>
                <w:caps w:val="0"/>
                <w:color w:val="383838"/>
                <w:spacing w:val="0"/>
                <w:sz w:val="28"/>
                <w:szCs w:val="28"/>
                <w:shd w:val="clear" w:fill="FFFFFF"/>
                <w:lang w:eastAsia="zh-CN"/>
              </w:rPr>
              <w:t>472694040@qq.com</w:t>
            </w:r>
          </w:p>
        </w:tc>
      </w:tr>
    </w:tbl>
    <w:p>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482" w:firstLineChars="200"/>
        <w:jc w:val="center"/>
        <w:textAlignment w:val="auto"/>
        <w:rPr>
          <w:rStyle w:val="6"/>
          <w:rFonts w:hint="eastAsia" w:ascii="Times New Roman" w:hAnsi="Times New Roman" w:eastAsia="仿宋_GB2312" w:cs="方正仿宋_gbk"/>
          <w:i w:val="0"/>
          <w:caps w:val="0"/>
          <w:color w:val="383838"/>
          <w:spacing w:val="0"/>
          <w:sz w:val="24"/>
          <w:szCs w:val="24"/>
          <w:shd w:val="clear" w:fill="FFFFFF"/>
          <w:lang w:eastAsia="zh-CN"/>
        </w:rPr>
      </w:pPr>
    </w:p>
    <w:p>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Fonts w:hint="eastAsia" w:ascii="Times New Roman" w:hAnsi="Times New Roman" w:eastAsia="仿宋_GB2312"/>
          <w:sz w:val="24"/>
          <w:szCs w:val="24"/>
          <w:lang w:eastAsia="zh-CN"/>
        </w:rPr>
      </w:pP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br w:type="page"/>
      </w:r>
    </w:p>
    <w:p>
      <w:pPr>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北京集佳知识产权代理有限公司</w:t>
      </w:r>
    </w:p>
    <w:p>
      <w:pPr>
        <w:pStyle w:val="2"/>
        <w:adjustRightInd w:val="0"/>
        <w:snapToGrid w:val="0"/>
        <w:spacing w:beforeAutospacing="0" w:afterAutospacing="0" w:line="540" w:lineRule="exact"/>
        <w:ind w:firstLine="420" w:firstLineChars="200"/>
        <w:rPr>
          <w:rFonts w:ascii="&amp;quot" w:hAnsi="&amp;quot"/>
          <w:color w:val="222222"/>
          <w:sz w:val="21"/>
          <w:szCs w:val="21"/>
        </w:rPr>
      </w:pPr>
      <w:r>
        <w:rPr>
          <w:rFonts w:ascii="&amp;quot" w:hAnsi="&amp;quot"/>
          <w:color w:val="222222"/>
          <w:sz w:val="21"/>
          <w:szCs w:val="21"/>
        </w:rPr>
        <w:t>　　</w:t>
      </w:r>
    </w:p>
    <w:p>
      <w:pPr>
        <w:pStyle w:val="2"/>
        <w:adjustRightInd w:val="0"/>
        <w:snapToGrid w:val="0"/>
        <w:spacing w:beforeAutospacing="0" w:afterAutospacing="0" w:line="540" w:lineRule="exact"/>
        <w:ind w:firstLine="640" w:firstLineChars="20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北京集佳知识产权代理有限公司于1994年成立，总部设于北京，在中国设有20 余个分支机构，并在日本、美国、德国设有分所。集佳设有律师事务所、咨询公司、评估公司、运营平台，是国内规模最大的综合性事务所之一，能为客户提供全链条的知识产权法律服务。</w:t>
      </w:r>
    </w:p>
    <w:p>
      <w:pPr>
        <w:pStyle w:val="2"/>
        <w:adjustRightInd w:val="0"/>
        <w:snapToGrid w:val="0"/>
        <w:spacing w:beforeAutospacing="0" w:afterAutospacing="0" w:line="540" w:lineRule="exact"/>
        <w:ind w:firstLine="640" w:firstLineChars="20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◆现有员工1300 余人，其中执业专利代理师270余人，商标代理师 60余人，律师 70余人。</w:t>
      </w:r>
      <w:r>
        <w:rPr>
          <w:rFonts w:ascii="Times New Roman" w:hAnsi="Times New Roman" w:eastAsia="仿宋_GB2312" w:cs="仿宋_GB2312"/>
          <w:kern w:val="2"/>
          <w:sz w:val="32"/>
          <w:szCs w:val="32"/>
        </w:rPr>
        <w:t xml:space="preserve"> </w:t>
      </w:r>
    </w:p>
    <w:p>
      <w:pPr>
        <w:pStyle w:val="2"/>
        <w:adjustRightInd w:val="0"/>
        <w:snapToGrid w:val="0"/>
        <w:spacing w:beforeAutospacing="0" w:afterAutospacing="0" w:line="540" w:lineRule="exact"/>
        <w:ind w:firstLine="640" w:firstLineChars="20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◆庞大的专利代理量，使集佳在包括医药、生物、化学、材料、电子、电气、通信、软件、工程机械等多个专业领域具有极其丰富的撰写经验。</w:t>
      </w:r>
    </w:p>
    <w:p>
      <w:pPr>
        <w:pStyle w:val="2"/>
        <w:adjustRightInd w:val="0"/>
        <w:snapToGrid w:val="0"/>
        <w:spacing w:beforeAutospacing="0" w:afterAutospacing="0" w:line="540" w:lineRule="exact"/>
        <w:ind w:firstLine="640" w:firstLineChars="20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多年来，集佳代理的专利获中国专利奖数量名列前茅。</w:t>
      </w:r>
    </w:p>
    <w:p>
      <w:pPr>
        <w:pStyle w:val="2"/>
        <w:adjustRightInd w:val="0"/>
        <w:snapToGrid w:val="0"/>
        <w:spacing w:beforeAutospacing="0" w:afterAutospacing="0" w:line="540" w:lineRule="exact"/>
        <w:ind w:firstLine="640" w:firstLineChars="20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截至目前，集佳以超过7000 件PCT国际申请代理量，在全国及全球事务所中排名前列。</w:t>
      </w:r>
    </w:p>
    <w:p>
      <w:pPr>
        <w:pStyle w:val="2"/>
        <w:adjustRightInd w:val="0"/>
        <w:snapToGrid w:val="0"/>
        <w:spacing w:beforeAutospacing="0" w:afterAutospacing="0" w:line="540" w:lineRule="exact"/>
        <w:ind w:firstLine="640" w:firstLineChars="20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为中国大陆的数千家企业在国外 170 多个国家和地区办理了商标、专利、版权事宜。</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◆集佳成熟、完善的产业链配置可以全面、体系、高效地为国内外客户提供高价值专利培育、专利布局与运营、成果转化、知识产权诉讼、专利价值评估等综合性服务。</w:t>
      </w:r>
    </w:p>
    <w:p>
      <w:pPr>
        <w:adjustRightInd w:val="0"/>
        <w:snapToGrid w:val="0"/>
        <w:spacing w:line="540" w:lineRule="exact"/>
        <w:jc w:val="center"/>
        <w:rPr>
          <w:rFonts w:ascii="Times New Roman" w:hAnsi="Times New Roman" w:eastAsia="仿宋_GB2312" w:cs="黑体"/>
          <w:b/>
          <w:bCs/>
          <w:sz w:val="32"/>
          <w:szCs w:val="32"/>
        </w:rPr>
      </w:pPr>
      <w:r>
        <w:rPr>
          <w:rFonts w:hint="eastAsia" w:ascii="Times New Roman" w:hAnsi="Times New Roman" w:eastAsia="仿宋_GB2312" w:cs="黑体"/>
          <w:b/>
          <w:bCs/>
          <w:sz w:val="32"/>
          <w:szCs w:val="32"/>
        </w:rPr>
        <w:t>收费标准</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137"/>
        <w:gridCol w:w="212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tcPr>
          <w:p>
            <w:pPr>
              <w:adjustRightInd w:val="0"/>
              <w:snapToGrid w:val="0"/>
              <w:spacing w:line="540" w:lineRule="exact"/>
              <w:jc w:val="cente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类型</w:t>
            </w:r>
          </w:p>
        </w:tc>
        <w:tc>
          <w:tcPr>
            <w:tcW w:w="1254" w:type="pct"/>
          </w:tcPr>
          <w:p>
            <w:pPr>
              <w:adjustRightInd w:val="0"/>
              <w:snapToGrid w:val="0"/>
              <w:spacing w:line="540" w:lineRule="exact"/>
              <w:jc w:val="cente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收费标准</w:t>
            </w:r>
          </w:p>
        </w:tc>
        <w:tc>
          <w:tcPr>
            <w:tcW w:w="1248" w:type="pct"/>
          </w:tcPr>
          <w:p>
            <w:pPr>
              <w:adjustRightInd w:val="0"/>
              <w:snapToGrid w:val="0"/>
              <w:spacing w:line="540" w:lineRule="exact"/>
              <w:jc w:val="cente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类型</w:t>
            </w:r>
          </w:p>
        </w:tc>
        <w:tc>
          <w:tcPr>
            <w:tcW w:w="1242" w:type="pct"/>
          </w:tcPr>
          <w:p>
            <w:pPr>
              <w:adjustRightInd w:val="0"/>
              <w:snapToGrid w:val="0"/>
              <w:spacing w:line="540" w:lineRule="exact"/>
              <w:jc w:val="cente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发明专利</w:t>
            </w:r>
          </w:p>
        </w:tc>
        <w:tc>
          <w:tcPr>
            <w:tcW w:w="1254"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4000元/件</w:t>
            </w:r>
          </w:p>
        </w:tc>
        <w:tc>
          <w:tcPr>
            <w:tcW w:w="1248"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软件著作权</w:t>
            </w:r>
          </w:p>
        </w:tc>
        <w:tc>
          <w:tcPr>
            <w:tcW w:w="1242"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1000元/件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实用新型</w:t>
            </w:r>
          </w:p>
        </w:tc>
        <w:tc>
          <w:tcPr>
            <w:tcW w:w="1254"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2500元/件</w:t>
            </w:r>
          </w:p>
        </w:tc>
        <w:tc>
          <w:tcPr>
            <w:tcW w:w="1248"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PCT国际专利</w:t>
            </w:r>
          </w:p>
        </w:tc>
        <w:tc>
          <w:tcPr>
            <w:tcW w:w="1242"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6000元/件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外观设计</w:t>
            </w:r>
          </w:p>
        </w:tc>
        <w:tc>
          <w:tcPr>
            <w:tcW w:w="1254"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1000元/件</w:t>
            </w:r>
          </w:p>
        </w:tc>
        <w:tc>
          <w:tcPr>
            <w:tcW w:w="1248" w:type="pct"/>
          </w:tcPr>
          <w:p>
            <w:pPr>
              <w:adjustRightInd w:val="0"/>
              <w:snapToGrid w:val="0"/>
              <w:spacing w:line="540" w:lineRule="exact"/>
              <w:jc w:val="center"/>
              <w:rPr>
                <w:rFonts w:ascii="Times New Roman" w:hAnsi="Times New Roman" w:eastAsia="仿宋_GB2312" w:cs="仿宋_GB2312"/>
                <w:sz w:val="32"/>
                <w:szCs w:val="32"/>
              </w:rPr>
            </w:pPr>
          </w:p>
        </w:tc>
        <w:tc>
          <w:tcPr>
            <w:tcW w:w="1242" w:type="pct"/>
          </w:tcPr>
          <w:p>
            <w:pPr>
              <w:adjustRightInd w:val="0"/>
              <w:snapToGrid w:val="0"/>
              <w:spacing w:line="540" w:lineRule="exact"/>
              <w:jc w:val="center"/>
              <w:rPr>
                <w:rFonts w:ascii="Times New Roman" w:hAnsi="Times New Roman"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北京品源专利代理有限公司</w:t>
      </w:r>
    </w:p>
    <w:p>
      <w:pPr>
        <w:ind w:firstLine="560" w:firstLineChars="200"/>
        <w:rPr>
          <w:rFonts w:hint="eastAsia" w:asciiTheme="minorEastAsia" w:hAnsiTheme="minorEastAsia" w:eastAsiaTheme="minorEastAsia"/>
          <w:sz w:val="28"/>
          <w:szCs w:val="28"/>
        </w:rPr>
      </w:pP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品源知识产权总部设在北京，在美国、德国、日本及全国主要城市设有十余个代表处及分支机构。品源2004年6月成立，目前主要成员有：北京市品源律师事务所、北京品源专利代理有限公司、北京品源知识产权代理有限公司、北京品源知识产权管理咨询有限公司、北京品源知识产权运营管理有限公司等。</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品源的长足发展和服务品质源于凝聚了一批具有丰富理论和实践经验的知识产权专业人士。截至目前，品源专业团队已达800余人，其中核心专家40余人，专业律师、专利代理师、商标代理人、专利分析师和资深知识产权顾问等中坚力量500余人。</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品源在商标、专利、著作权的申请、撤销、无效和域名争议解决，知识产权诉讼和管理咨询等方面都积累了大量的实战经验，并喜获众多国内外权威奖项及荣誉。</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textAlignment w:val="auto"/>
        <w:rPr>
          <w:rFonts w:hint="eastAsia" w:ascii="Times New Roman" w:hAnsi="Times New Roman"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收费标准</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2136"/>
        <w:gridCol w:w="2127"/>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类型</w:t>
            </w:r>
          </w:p>
        </w:tc>
        <w:tc>
          <w:tcPr>
            <w:tcW w:w="1253" w:type="pct"/>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收费标准</w:t>
            </w:r>
          </w:p>
        </w:tc>
        <w:tc>
          <w:tcPr>
            <w:tcW w:w="1248" w:type="pct"/>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类型</w:t>
            </w:r>
          </w:p>
        </w:tc>
        <w:tc>
          <w:tcPr>
            <w:tcW w:w="1242" w:type="pct"/>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发明专利</w:t>
            </w:r>
          </w:p>
        </w:tc>
        <w:tc>
          <w:tcPr>
            <w:tcW w:w="1253" w:type="pct"/>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3800元</w:t>
            </w:r>
          </w:p>
        </w:tc>
        <w:tc>
          <w:tcPr>
            <w:tcW w:w="1248" w:type="pct"/>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软件著作权</w:t>
            </w:r>
          </w:p>
        </w:tc>
        <w:tc>
          <w:tcPr>
            <w:tcW w:w="1242" w:type="pct"/>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实用新型</w:t>
            </w:r>
          </w:p>
        </w:tc>
        <w:tc>
          <w:tcPr>
            <w:tcW w:w="1253" w:type="pct"/>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2300元</w:t>
            </w:r>
          </w:p>
        </w:tc>
        <w:tc>
          <w:tcPr>
            <w:tcW w:w="1248" w:type="pct"/>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PCT国际专利</w:t>
            </w:r>
          </w:p>
        </w:tc>
        <w:tc>
          <w:tcPr>
            <w:tcW w:w="1242" w:type="pct"/>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5500元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外观设计</w:t>
            </w:r>
          </w:p>
        </w:tc>
        <w:tc>
          <w:tcPr>
            <w:tcW w:w="1253" w:type="pct"/>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950元</w:t>
            </w:r>
          </w:p>
        </w:tc>
        <w:tc>
          <w:tcPr>
            <w:tcW w:w="1248" w:type="pct"/>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p>
        </w:tc>
        <w:tc>
          <w:tcPr>
            <w:tcW w:w="1242" w:type="pct"/>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p>
        </w:tc>
      </w:tr>
    </w:tbl>
    <w:p>
      <w:pPr>
        <w:rPr>
          <w:sz w:val="32"/>
          <w:szCs w:val="32"/>
        </w:rPr>
      </w:pPr>
    </w:p>
    <w:p>
      <w:pPr>
        <w:rPr>
          <w:sz w:val="32"/>
          <w:szCs w:val="32"/>
        </w:rPr>
      </w:pPr>
      <w:r>
        <w:rPr>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广州嘉权专利商标事务所有限公司</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嘉权专利商标事务所成立于1987年，是中国历史最悠久的专利商标事务所之一，总部位于广州，目前在北京、深圳、佛山、顺德、珠海、中山、江门、东莞和长沙设有分公司。并逐步形成以广州和深圳为核心、市场逐步覆盖珠三角、同时延伸至全国和世界主要发达国家的综合知识产权事务所。</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嘉权目前拥有职员逾700人，至2018年为止专利申请量达10余万件，内设国际部、国内专利部、商标部、维权诉讼部、质量监督部、检索及分析部、科技项目部、办公流程部、市场拓展部、客户服务部、人力资源部、企业策划部、贯标部、技术交易部，形成了专业的知识产权法律服务机构的现代化管理格局，目前是华南地区最具规模与实力的知识产权法律服务机构之一。</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收费标准</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2136"/>
        <w:gridCol w:w="2127"/>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类型</w:t>
            </w:r>
          </w:p>
        </w:tc>
        <w:tc>
          <w:tcPr>
            <w:tcW w:w="1253"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收费标准</w:t>
            </w:r>
          </w:p>
        </w:tc>
        <w:tc>
          <w:tcPr>
            <w:tcW w:w="1248"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类型</w:t>
            </w:r>
          </w:p>
        </w:tc>
        <w:tc>
          <w:tcPr>
            <w:tcW w:w="1242"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发明专利</w:t>
            </w:r>
          </w:p>
        </w:tc>
        <w:tc>
          <w:tcPr>
            <w:tcW w:w="1253"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3400</w:t>
            </w:r>
          </w:p>
        </w:tc>
        <w:tc>
          <w:tcPr>
            <w:tcW w:w="1248"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软件著作权</w:t>
            </w:r>
          </w:p>
        </w:tc>
        <w:tc>
          <w:tcPr>
            <w:tcW w:w="1242"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实用新型</w:t>
            </w:r>
          </w:p>
        </w:tc>
        <w:tc>
          <w:tcPr>
            <w:tcW w:w="1253"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2200</w:t>
            </w:r>
          </w:p>
        </w:tc>
        <w:tc>
          <w:tcPr>
            <w:tcW w:w="1248"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PCT国际专利</w:t>
            </w:r>
          </w:p>
        </w:tc>
        <w:tc>
          <w:tcPr>
            <w:tcW w:w="1242"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外观设计</w:t>
            </w:r>
          </w:p>
        </w:tc>
        <w:tc>
          <w:tcPr>
            <w:tcW w:w="1253"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850</w:t>
            </w:r>
          </w:p>
        </w:tc>
        <w:tc>
          <w:tcPr>
            <w:tcW w:w="1248"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p>
        </w:tc>
        <w:tc>
          <w:tcPr>
            <w:tcW w:w="1242"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广州市华学知识产权代理有限公司</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宋体" w:hAnsi="宋体" w:cs="Times New Roman"/>
          <w:bCs/>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40"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广州市华学知识产权代理有限公司始建于1985年，前身为华南理工大学专利事务所，2003年改制为有限公司，总部位于广州珠江新城，并在全国各地设立15家分公司，提供知识产权咨询、申请、复审、无效、运营、分析、培训、诉讼等综合服务。其中，公司的实力及特色如下：</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全国知识产权服务品牌机构、全国四星专利代理机构、2019 年度优秀商标代理机构、广东省诚信示范企业（连续 12 年）等荣誉；</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全国专利代理行业高层次人才、全国专利信息实务人才等全国知名专家；</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服务客户达数千家，高校科研院校代理经验丰富，长期为中山大学、华南理工大学、暨南大学、华农、华师、哈工大、北理工等50余所高校，并为华南生态所、化学所、生态所、华南环境科学研究所等科研院所提供服务；</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执业专利代理师专业涵盖机械、生物、医药、化学、光电、通信、计算机、土木、环境、材料等，所代理专利荣获中国专利奖、广东专利奖、全国发明展览会金奖、广东省优秀发明专利申请文件等荣誉。</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bookmarkStart w:id="0" w:name="_GoBack"/>
      <w:bookmarkEnd w:id="0"/>
      <w:r>
        <w:rPr>
          <w:rFonts w:hint="eastAsia" w:ascii="Times New Roman" w:hAnsi="Times New Roman" w:eastAsia="仿宋_GB2312" w:cs="仿宋_GB2312"/>
          <w:b/>
          <w:bCs/>
          <w:kern w:val="2"/>
          <w:sz w:val="32"/>
          <w:szCs w:val="32"/>
          <w:lang w:val="en-US" w:eastAsia="zh-CN" w:bidi="ar-SA"/>
        </w:rPr>
        <w:t>收费标准：</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2136"/>
        <w:gridCol w:w="2127"/>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类型</w:t>
            </w:r>
          </w:p>
        </w:tc>
        <w:tc>
          <w:tcPr>
            <w:tcW w:w="1253"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收费标准</w:t>
            </w:r>
          </w:p>
        </w:tc>
        <w:tc>
          <w:tcPr>
            <w:tcW w:w="1248"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类型</w:t>
            </w:r>
          </w:p>
        </w:tc>
        <w:tc>
          <w:tcPr>
            <w:tcW w:w="1242"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发明专利</w:t>
            </w:r>
          </w:p>
        </w:tc>
        <w:tc>
          <w:tcPr>
            <w:tcW w:w="1253"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3400元/件</w:t>
            </w:r>
          </w:p>
        </w:tc>
        <w:tc>
          <w:tcPr>
            <w:tcW w:w="1248"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软件著作权</w:t>
            </w:r>
          </w:p>
        </w:tc>
        <w:tc>
          <w:tcPr>
            <w:tcW w:w="1242"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700元/件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实用新型</w:t>
            </w:r>
          </w:p>
        </w:tc>
        <w:tc>
          <w:tcPr>
            <w:tcW w:w="1253"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2100元/件</w:t>
            </w:r>
          </w:p>
        </w:tc>
        <w:tc>
          <w:tcPr>
            <w:tcW w:w="1248"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PCT国际专利</w:t>
            </w:r>
          </w:p>
        </w:tc>
        <w:tc>
          <w:tcPr>
            <w:tcW w:w="1242"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5100元/件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外观设计</w:t>
            </w:r>
          </w:p>
        </w:tc>
        <w:tc>
          <w:tcPr>
            <w:tcW w:w="1253"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850元/件</w:t>
            </w:r>
          </w:p>
        </w:tc>
        <w:tc>
          <w:tcPr>
            <w:tcW w:w="1248"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p>
        </w:tc>
        <w:tc>
          <w:tcPr>
            <w:tcW w:w="1242"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p>
        </w:tc>
      </w:tr>
    </w:tbl>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广州三环专利商标代理有限公司</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三环知识产权始建于1986年，前身为中山医科大学下属的专利事务所，主要成员有：广州三环专利商标代理有限公司、广东三环汇华律师事务所、广州三环文越知识产权运营有限公司，三环现有员工1</w:t>
      </w:r>
      <w:r>
        <w:rPr>
          <w:rFonts w:ascii="Times New Roman" w:hAnsi="Times New Roman" w:eastAsia="仿宋_GB2312" w:cs="仿宋_GB2312"/>
          <w:sz w:val="32"/>
          <w:szCs w:val="32"/>
        </w:rPr>
        <w:t>000</w:t>
      </w:r>
      <w:r>
        <w:rPr>
          <w:rFonts w:hint="eastAsia" w:ascii="Times New Roman" w:hAnsi="Times New Roman" w:eastAsia="仿宋_GB2312" w:cs="仿宋_GB2312"/>
          <w:sz w:val="32"/>
          <w:szCs w:val="32"/>
        </w:rPr>
        <w:t>余人，旗下拥有全球30家分公司，致力为全球企事业单位提供知识产权全链条服务，为科技创新保驾护航。</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仿宋" w:hAnsi="仿宋" w:eastAsia="仿宋" w:cs="仿宋_GB2312"/>
          <w:sz w:val="32"/>
          <w:szCs w:val="32"/>
        </w:rPr>
        <w:t>◆</w:t>
      </w:r>
      <w:r>
        <w:rPr>
          <w:rFonts w:hint="eastAsia" w:ascii="Times New Roman" w:hAnsi="Times New Roman" w:eastAsia="仿宋_GB2312" w:cs="仿宋_GB2312"/>
          <w:sz w:val="32"/>
          <w:szCs w:val="32"/>
        </w:rPr>
        <w:t>所获荣誉</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2019年度中国专利代理十强、2018年度全国十佳知识产权代理所、全国专利代理协会副会长单位、广东省专利代理协会会长单位；</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仿宋" w:hAnsi="仿宋" w:eastAsia="仿宋" w:cs="仿宋_GB2312"/>
          <w:sz w:val="32"/>
          <w:szCs w:val="32"/>
        </w:rPr>
        <w:t>◆</w:t>
      </w:r>
      <w:r>
        <w:rPr>
          <w:rFonts w:hint="eastAsia" w:ascii="Times New Roman" w:hAnsi="Times New Roman" w:eastAsia="仿宋_GB2312" w:cs="仿宋_GB2312"/>
          <w:sz w:val="32"/>
          <w:szCs w:val="32"/>
        </w:rPr>
        <w:t>专利代理量与授权率</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2017-2019年连续3年累计发明专利与实用新型专利代理申请量超过6万件，其中发明专利代理申请量超过3万件；</w:t>
      </w:r>
    </w:p>
    <w:p>
      <w:pPr>
        <w:adjustRightInd w:val="0"/>
        <w:snapToGrid w:val="0"/>
        <w:spacing w:line="54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2017年和2018年PCT</w:t>
      </w:r>
      <w:r>
        <w:rPr>
          <w:rFonts w:hint="eastAsia" w:ascii="Times New Roman" w:hAnsi="Times New Roman" w:eastAsia="仿宋_GB2312" w:cs="仿宋_GB2312"/>
          <w:sz w:val="32"/>
          <w:szCs w:val="32"/>
        </w:rPr>
        <w:t>专利代理</w:t>
      </w:r>
      <w:r>
        <w:rPr>
          <w:rFonts w:ascii="Times New Roman" w:hAnsi="Times New Roman" w:eastAsia="仿宋_GB2312" w:cs="仿宋_GB2312"/>
          <w:sz w:val="32"/>
          <w:szCs w:val="32"/>
        </w:rPr>
        <w:t>申请量全</w:t>
      </w:r>
      <w:r>
        <w:rPr>
          <w:rFonts w:hint="eastAsia" w:ascii="Times New Roman" w:hAnsi="Times New Roman" w:eastAsia="仿宋_GB2312" w:cs="仿宋_GB2312"/>
          <w:sz w:val="32"/>
          <w:szCs w:val="32"/>
        </w:rPr>
        <w:t>国第一；</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2019年度发明专利代理授权量华南第一名；</w:t>
      </w:r>
      <w:r>
        <w:rPr>
          <w:rFonts w:ascii="Times New Roman" w:hAnsi="Times New Roman" w:eastAsia="仿宋_GB2312" w:cs="仿宋_GB2312"/>
          <w:sz w:val="32"/>
          <w:szCs w:val="32"/>
        </w:rPr>
        <w:t>2020年开年至今</w:t>
      </w:r>
      <w:r>
        <w:rPr>
          <w:rFonts w:hint="eastAsia" w:ascii="Times New Roman" w:hAnsi="Times New Roman" w:eastAsia="仿宋_GB2312" w:cs="仿宋_GB2312"/>
          <w:sz w:val="32"/>
          <w:szCs w:val="32"/>
        </w:rPr>
        <w:t>，发明专利代理申请授权率全国第三；</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仿宋" w:hAnsi="仿宋" w:eastAsia="仿宋" w:cs="仿宋_GB2312"/>
          <w:sz w:val="32"/>
          <w:szCs w:val="32"/>
        </w:rPr>
        <w:t>◆</w:t>
      </w:r>
      <w:r>
        <w:rPr>
          <w:rFonts w:hint="eastAsia" w:ascii="Times New Roman" w:hAnsi="Times New Roman" w:eastAsia="仿宋_GB2312" w:cs="仿宋_GB2312"/>
          <w:sz w:val="32"/>
          <w:szCs w:val="32"/>
        </w:rPr>
        <w:t>人才</w:t>
      </w:r>
    </w:p>
    <w:p>
      <w:pPr>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拥有国家知识产权专家库入选专家、国家知识产权局“百千万知识产权人才工程”人才等多名专家；</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收费标准</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2136"/>
        <w:gridCol w:w="2127"/>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类型</w:t>
            </w:r>
          </w:p>
        </w:tc>
        <w:tc>
          <w:tcPr>
            <w:tcW w:w="1253"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收费标准</w:t>
            </w:r>
          </w:p>
        </w:tc>
        <w:tc>
          <w:tcPr>
            <w:tcW w:w="1248"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类型</w:t>
            </w:r>
          </w:p>
        </w:tc>
        <w:tc>
          <w:tcPr>
            <w:tcW w:w="1242"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发明专利</w:t>
            </w:r>
          </w:p>
        </w:tc>
        <w:tc>
          <w:tcPr>
            <w:tcW w:w="1253"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4000元/件</w:t>
            </w:r>
          </w:p>
        </w:tc>
        <w:tc>
          <w:tcPr>
            <w:tcW w:w="1248"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软件著作权</w:t>
            </w:r>
          </w:p>
        </w:tc>
        <w:tc>
          <w:tcPr>
            <w:tcW w:w="1242"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800元/件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实用新型</w:t>
            </w:r>
          </w:p>
        </w:tc>
        <w:tc>
          <w:tcPr>
            <w:tcW w:w="1253"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2200元/件</w:t>
            </w:r>
          </w:p>
        </w:tc>
        <w:tc>
          <w:tcPr>
            <w:tcW w:w="1248"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PCT国际专利</w:t>
            </w:r>
          </w:p>
        </w:tc>
        <w:tc>
          <w:tcPr>
            <w:tcW w:w="1242"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5500元/件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外观设计</w:t>
            </w:r>
          </w:p>
        </w:tc>
        <w:tc>
          <w:tcPr>
            <w:tcW w:w="1253"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900元/件</w:t>
            </w:r>
          </w:p>
        </w:tc>
        <w:tc>
          <w:tcPr>
            <w:tcW w:w="1248"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p>
        </w:tc>
        <w:tc>
          <w:tcPr>
            <w:tcW w:w="1242"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仿宋_GB2312" w:cs="仿宋_GB2312"/>
                <w:kern w:val="2"/>
                <w:sz w:val="32"/>
                <w:szCs w:val="32"/>
                <w:lang w:val="en-US" w:eastAsia="zh-CN" w:bidi="ar-SA"/>
              </w:rPr>
            </w:pPr>
          </w:p>
        </w:tc>
      </w:tr>
    </w:tbl>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广州粤高专利商标代理有限公司</w:t>
      </w:r>
    </w:p>
    <w:p>
      <w:pPr>
        <w:adjustRightInd w:val="0"/>
        <w:snapToGrid w:val="0"/>
        <w:spacing w:line="540" w:lineRule="exact"/>
        <w:ind w:firstLine="643" w:firstLineChars="200"/>
        <w:rPr>
          <w:rFonts w:ascii="方正小标宋简体" w:hAnsi="方正小标宋简体" w:eastAsia="方正小标宋简体" w:cs="方正小标宋简体"/>
          <w:b/>
          <w:bCs/>
          <w:sz w:val="32"/>
          <w:szCs w:val="32"/>
        </w:rPr>
      </w:pP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广州粤高专利商标代理有限公司创立于1985年，提供集专利、商标、版权和法务为一体的综合性服务，并具有丰富的涉外代理和知识产权诉讼经验。</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粤高是全国知识产权服务品牌机构，全国知识产权分析评议示范机构，粤高的知识产权服务获评广东省名牌产品称号。自2009年突破年专利代理量万件以来，连续11年年专利代理量在万件以上，代理的专利超过90件荣获中国专利奖，名列全国前茅。粤高是广东专利代理协会首届和第二届的会长单位，中华全国专利代理人协会常务理事单位，获选“广东省科技服务业百强机构”、“中国优秀专利代理机构（四星）”，荣获“广州市保护知识产权市长奖”。</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粤高扎根高校服务30余年，一直为华南理工大学、中山大学、广东工业大学、华南农业大学、华南师范大学、暨南大学、广州大学、广州中医药大学、广东药科大学等高等院校办理知识产权业务。粤高在中山大学派驻专业人员已经有二十余年，方便中大老师学生交流咨询。近十年来，粤高代理的中大发明专利授权率平均超过66%。粤高人将继续以精益求精的态度为中大师生提供专业的知识产权服务。</w:t>
      </w:r>
    </w:p>
    <w:p>
      <w:pPr>
        <w:adjustRightInd w:val="0"/>
        <w:snapToGrid w:val="0"/>
        <w:spacing w:line="540" w:lineRule="exact"/>
        <w:jc w:val="center"/>
        <w:rPr>
          <w:rFonts w:ascii="Times New Roman" w:hAnsi="Times New Roman" w:eastAsia="仿宋_GB2312" w:cs="黑体"/>
          <w:b/>
          <w:bCs/>
          <w:sz w:val="32"/>
          <w:szCs w:val="32"/>
        </w:rPr>
      </w:pPr>
      <w:r>
        <w:rPr>
          <w:rFonts w:hint="eastAsia" w:ascii="Times New Roman" w:hAnsi="Times New Roman" w:eastAsia="仿宋_GB2312" w:cs="黑体"/>
          <w:b/>
          <w:bCs/>
          <w:sz w:val="32"/>
          <w:szCs w:val="32"/>
        </w:rPr>
        <w:t>收费标准</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2136"/>
        <w:gridCol w:w="2127"/>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pct"/>
          </w:tcPr>
          <w:p>
            <w:pPr>
              <w:adjustRightInd w:val="0"/>
              <w:snapToGrid w:val="0"/>
              <w:spacing w:line="540" w:lineRule="exact"/>
              <w:jc w:val="cente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类型</w:t>
            </w:r>
          </w:p>
        </w:tc>
        <w:tc>
          <w:tcPr>
            <w:tcW w:w="1253" w:type="pct"/>
          </w:tcPr>
          <w:p>
            <w:pPr>
              <w:adjustRightInd w:val="0"/>
              <w:snapToGrid w:val="0"/>
              <w:spacing w:line="540" w:lineRule="exact"/>
              <w:jc w:val="cente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收费标准</w:t>
            </w:r>
          </w:p>
        </w:tc>
        <w:tc>
          <w:tcPr>
            <w:tcW w:w="1248" w:type="pct"/>
          </w:tcPr>
          <w:p>
            <w:pPr>
              <w:adjustRightInd w:val="0"/>
              <w:snapToGrid w:val="0"/>
              <w:spacing w:line="540" w:lineRule="exact"/>
              <w:jc w:val="cente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类型</w:t>
            </w:r>
          </w:p>
        </w:tc>
        <w:tc>
          <w:tcPr>
            <w:tcW w:w="1242" w:type="pct"/>
          </w:tcPr>
          <w:p>
            <w:pPr>
              <w:adjustRightInd w:val="0"/>
              <w:snapToGrid w:val="0"/>
              <w:spacing w:line="540" w:lineRule="exact"/>
              <w:jc w:val="cente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发明专利</w:t>
            </w:r>
          </w:p>
        </w:tc>
        <w:tc>
          <w:tcPr>
            <w:tcW w:w="1253"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3500元</w:t>
            </w:r>
          </w:p>
        </w:tc>
        <w:tc>
          <w:tcPr>
            <w:tcW w:w="1248"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软件著作权</w:t>
            </w:r>
          </w:p>
        </w:tc>
        <w:tc>
          <w:tcPr>
            <w:tcW w:w="1242"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实用新型</w:t>
            </w:r>
          </w:p>
        </w:tc>
        <w:tc>
          <w:tcPr>
            <w:tcW w:w="1253"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2100元</w:t>
            </w:r>
          </w:p>
        </w:tc>
        <w:tc>
          <w:tcPr>
            <w:tcW w:w="1248"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PCT国际专利</w:t>
            </w:r>
          </w:p>
        </w:tc>
        <w:tc>
          <w:tcPr>
            <w:tcW w:w="1242"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5100元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外观设计</w:t>
            </w:r>
          </w:p>
        </w:tc>
        <w:tc>
          <w:tcPr>
            <w:tcW w:w="1253" w:type="pct"/>
          </w:tcPr>
          <w:p>
            <w:pPr>
              <w:adjustRightInd w:val="0"/>
              <w:snapToGrid w:val="0"/>
              <w:spacing w:line="5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1000元</w:t>
            </w:r>
          </w:p>
        </w:tc>
        <w:tc>
          <w:tcPr>
            <w:tcW w:w="1248" w:type="pct"/>
          </w:tcPr>
          <w:p>
            <w:pPr>
              <w:adjustRightInd w:val="0"/>
              <w:snapToGrid w:val="0"/>
              <w:spacing w:line="540" w:lineRule="exact"/>
              <w:jc w:val="center"/>
              <w:rPr>
                <w:rFonts w:ascii="Times New Roman" w:hAnsi="Times New Roman" w:eastAsia="仿宋_GB2312" w:cs="仿宋_GB2312"/>
                <w:sz w:val="32"/>
                <w:szCs w:val="32"/>
              </w:rPr>
            </w:pPr>
          </w:p>
        </w:tc>
        <w:tc>
          <w:tcPr>
            <w:tcW w:w="1242" w:type="pct"/>
          </w:tcPr>
          <w:p>
            <w:pPr>
              <w:adjustRightInd w:val="0"/>
              <w:snapToGrid w:val="0"/>
              <w:spacing w:line="540" w:lineRule="exact"/>
              <w:jc w:val="center"/>
              <w:rPr>
                <w:rFonts w:ascii="Times New Roman" w:hAnsi="Times New Roman"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Times New Roman" w:hAnsi="Times New Roman" w:eastAsia="仿宋_GB2312"/>
          <w:sz w:val="28"/>
          <w:szCs w:val="28"/>
        </w:rPr>
        <w:br w:type="page"/>
      </w:r>
      <w:r>
        <w:rPr>
          <w:rFonts w:hint="eastAsia" w:ascii="方正小标宋简体" w:hAnsi="方正小标宋简体" w:eastAsia="方正小标宋简体" w:cs="方正小标宋简体"/>
          <w:sz w:val="44"/>
          <w:szCs w:val="44"/>
          <w:lang w:val="en-US" w:eastAsia="zh-CN"/>
        </w:rPr>
        <w:t>深圳市创富知识产权代理有限公司</w:t>
      </w:r>
    </w:p>
    <w:p>
      <w:pPr>
        <w:keepNext w:val="0"/>
        <w:keepLines w:val="0"/>
        <w:pageBreakBefore w:val="0"/>
        <w:kinsoku/>
        <w:wordWrap/>
        <w:overflowPunct/>
        <w:topLinePunct w:val="0"/>
        <w:autoSpaceDE/>
        <w:autoSpaceDN/>
        <w:bidi w:val="0"/>
        <w:adjustRightInd w:val="0"/>
        <w:snapToGrid w:val="0"/>
        <w:spacing w:line="540" w:lineRule="exact"/>
        <w:ind w:firstLine="600" w:firstLineChars="200"/>
        <w:textAlignment w:val="auto"/>
        <w:rPr>
          <w:rFonts w:hint="eastAsia"/>
          <w:sz w:val="30"/>
          <w:szCs w:val="30"/>
          <w:lang w:eastAsia="zh-CN"/>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深圳市创富知识产权代理有限公司 是一家经国家知识产权局批准的知识产权代理机构，具备国家专利代理资质，机构代码为44367，总部设在深圳福田，广州、东莞、惠州、佛山、珠海等地区设有专利局备案的19家分公司。创富拥有一支由执业专利代理师、商标代理人、专利工程师、知识产权律师、知识产权管理咨询师、知识产权专家等组成的近200人强大专业团队，业务范围覆盖机械、物理、电子信息技术、化学与化工、生物工程、能源等众多科学技术领域。目前执业专利代理师超过 30人，在深圳同行业中排名前五，在广东省同行业中排名前10。2018年创富知识产权被国家知识产权局纳入国家级专利代理机构贯标试点单位，深圳获此殊荣单位仅有五家。2019年创富知识产权成为广东专利代理协会理事单位，深圳2019获此殊荣单位仅有九家。</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收费标准</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2136"/>
        <w:gridCol w:w="2127"/>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类型</w:t>
            </w:r>
          </w:p>
        </w:tc>
        <w:tc>
          <w:tcPr>
            <w:tcW w:w="1253"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收费标准</w:t>
            </w:r>
          </w:p>
        </w:tc>
        <w:tc>
          <w:tcPr>
            <w:tcW w:w="1248"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类型</w:t>
            </w:r>
          </w:p>
        </w:tc>
        <w:tc>
          <w:tcPr>
            <w:tcW w:w="1242"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发明专利</w:t>
            </w:r>
          </w:p>
        </w:tc>
        <w:tc>
          <w:tcPr>
            <w:tcW w:w="1253"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3400</w:t>
            </w:r>
          </w:p>
        </w:tc>
        <w:tc>
          <w:tcPr>
            <w:tcW w:w="1248"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软件著作权</w:t>
            </w:r>
          </w:p>
        </w:tc>
        <w:tc>
          <w:tcPr>
            <w:tcW w:w="1242"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实用新型</w:t>
            </w:r>
          </w:p>
        </w:tc>
        <w:tc>
          <w:tcPr>
            <w:tcW w:w="1253"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2100</w:t>
            </w:r>
          </w:p>
        </w:tc>
        <w:tc>
          <w:tcPr>
            <w:tcW w:w="1248"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PCT国际专利</w:t>
            </w:r>
          </w:p>
        </w:tc>
        <w:tc>
          <w:tcPr>
            <w:tcW w:w="1242"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外观设计</w:t>
            </w:r>
          </w:p>
        </w:tc>
        <w:tc>
          <w:tcPr>
            <w:tcW w:w="1253"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850</w:t>
            </w:r>
          </w:p>
        </w:tc>
        <w:tc>
          <w:tcPr>
            <w:tcW w:w="1248"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p>
        </w:tc>
        <w:tc>
          <w:tcPr>
            <w:tcW w:w="1242" w:type="pct"/>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仿宋_GB2312"/>
                <w:kern w:val="2"/>
                <w:sz w:val="32"/>
                <w:szCs w:val="32"/>
                <w:lang w:val="en-US" w:eastAsia="zh-CN" w:bidi="ar-SA"/>
              </w:rPr>
            </w:pPr>
          </w:p>
        </w:tc>
      </w:tr>
    </w:tbl>
    <w:p>
      <w:pPr>
        <w:keepNext w:val="0"/>
        <w:keepLines w:val="0"/>
        <w:pageBreakBefore w:val="0"/>
        <w:kinsoku/>
        <w:wordWrap/>
        <w:overflowPunct/>
        <w:topLinePunct w:val="0"/>
        <w:autoSpaceDE/>
        <w:autoSpaceDN/>
        <w:bidi w:val="0"/>
        <w:adjustRightInd w:val="0"/>
        <w:snapToGrid w:val="0"/>
        <w:spacing w:line="54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mp;quot">
    <w:altName w:val="Times New Roman"/>
    <w:panose1 w:val="00000000000000000000"/>
    <w:charset w:val="00"/>
    <w:family w:val="roman"/>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F8E4"/>
    <w:multiLevelType w:val="singleLevel"/>
    <w:tmpl w:val="18D7F8E4"/>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A035D"/>
    <w:rsid w:val="0B9F0234"/>
    <w:rsid w:val="0BB20137"/>
    <w:rsid w:val="14FC3C3B"/>
    <w:rsid w:val="24555B26"/>
    <w:rsid w:val="303D150A"/>
    <w:rsid w:val="354B2B5A"/>
    <w:rsid w:val="55176E77"/>
    <w:rsid w:val="6B952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王平</cp:lastModifiedBy>
  <dcterms:modified xsi:type="dcterms:W3CDTF">2020-04-13T01:52:39Z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